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FD3B" w14:textId="7FBDACCD" w:rsidR="008A4922" w:rsidRPr="00302C17" w:rsidRDefault="00302C17">
      <w:pPr>
        <w:rPr>
          <w:sz w:val="40"/>
          <w:szCs w:val="40"/>
        </w:rPr>
      </w:pPr>
      <w:r w:rsidRPr="00302C17">
        <w:rPr>
          <w:sz w:val="40"/>
          <w:szCs w:val="40"/>
        </w:rPr>
        <w:t>IIS Maxwell</w:t>
      </w:r>
    </w:p>
    <w:p w14:paraId="03E858AF" w14:textId="250A863D" w:rsidR="00302C17" w:rsidRDefault="00302C17">
      <w:pPr>
        <w:rPr>
          <w:rFonts w:ascii="Titillium Web" w:hAnsi="Titillium Web"/>
          <w:color w:val="455B71"/>
          <w:sz w:val="21"/>
          <w:szCs w:val="21"/>
          <w:shd w:val="clear" w:color="auto" w:fill="FFFFFF"/>
        </w:rPr>
      </w:pPr>
      <w:r>
        <w:rPr>
          <w:rFonts w:ascii="Titillium Web" w:hAnsi="Titillium Web"/>
          <w:color w:val="455B71"/>
          <w:sz w:val="21"/>
          <w:szCs w:val="21"/>
          <w:shd w:val="clear" w:color="auto" w:fill="FFFFFF"/>
        </w:rPr>
        <w:t>via Don Calabria, 2 - 20132 Milano</w:t>
      </w:r>
    </w:p>
    <w:p w14:paraId="2AD7FB65" w14:textId="3C55AE86" w:rsidR="00302C17" w:rsidRDefault="00302C17">
      <w:r>
        <w:rPr>
          <w:rFonts w:ascii="Titillium Web" w:hAnsi="Titillium Web"/>
          <w:color w:val="455B71"/>
          <w:sz w:val="21"/>
          <w:szCs w:val="21"/>
          <w:shd w:val="clear" w:color="auto" w:fill="FFFFFF"/>
        </w:rPr>
        <w:t xml:space="preserve">Tel </w:t>
      </w:r>
      <w:hyperlink r:id="rId4" w:history="1">
        <w:r>
          <w:rPr>
            <w:rStyle w:val="Collegamentoipertestuale"/>
            <w:rFonts w:ascii="Titillium Web" w:hAnsi="Titillium Web"/>
            <w:sz w:val="21"/>
            <w:szCs w:val="21"/>
            <w:bdr w:val="none" w:sz="0" w:space="0" w:color="auto" w:frame="1"/>
            <w:shd w:val="clear" w:color="auto" w:fill="FFFFFF"/>
          </w:rPr>
          <w:t>022825958</w:t>
        </w:r>
      </w:hyperlink>
    </w:p>
    <w:p w14:paraId="1BFC2828" w14:textId="77777777" w:rsidR="00302C17" w:rsidRDefault="00302C17"/>
    <w:p w14:paraId="334A2ACB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27"/>
          <w:szCs w:val="27"/>
          <w:lang w:eastAsia="it-IT"/>
          <w14:ligatures w14:val="none"/>
        </w:rPr>
        <w:t>SPECIALE Open Day Aeronautico 2025/26!</w:t>
      </w:r>
    </w:p>
    <w:p w14:paraId="3F58760D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1"/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t>Sabato 25 ottobre dalle 9,30</w:t>
      </w:r>
    </w:p>
    <w:p w14:paraId="3FB5B56D" w14:textId="3DCB8981" w:rsidR="00302C17" w:rsidRPr="00302C17" w:rsidRDefault="00302C17" w:rsidP="00302C17">
      <w:pPr>
        <w:shd w:val="clear" w:color="auto" w:fill="FFFFFF"/>
        <w:spacing w:after="120"/>
        <w:jc w:val="center"/>
        <w:outlineLvl w:val="1"/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br/>
      </w: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fldChar w:fldCharType="begin"/>
      </w: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instrText xml:space="preserve"> INCLUDEPICTURE "https://www.maxwell.edu.it/wp-content/uploads/Immagini/mano-verso-il-basso-300x300.png" \* MERGEFORMATINET </w:instrText>
      </w: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fldChar w:fldCharType="separate"/>
      </w:r>
      <w:r w:rsidRPr="00302C17">
        <w:rPr>
          <w:rFonts w:ascii="Titillium Web" w:eastAsia="Times New Roman" w:hAnsi="Titillium Web" w:cs="Times New Roman"/>
          <w:b/>
          <w:bCs/>
          <w:noProof/>
          <w:color w:val="FF0000"/>
          <w:kern w:val="0"/>
          <w:sz w:val="36"/>
          <w:szCs w:val="36"/>
          <w:lang w:eastAsia="it-IT"/>
          <w14:ligatures w14:val="none"/>
        </w:rPr>
        <w:drawing>
          <wp:inline distT="0" distB="0" distL="0" distR="0" wp14:anchorId="388A78D4" wp14:editId="0C252B53">
            <wp:extent cx="685800" cy="685800"/>
            <wp:effectExtent l="0" t="0" r="0" b="0"/>
            <wp:docPr id="602954802" name="Immagine 1" descr="mano verso il ba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o verso il bas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36"/>
          <w:szCs w:val="36"/>
          <w:lang w:eastAsia="it-IT"/>
          <w14:ligatures w14:val="none"/>
        </w:rPr>
        <w:fldChar w:fldCharType="end"/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  <w:br/>
      </w:r>
      <w:hyperlink r:id="rId6" w:history="1">
        <w:r w:rsidRPr="00302C17">
          <w:rPr>
            <w:rFonts w:ascii="Titillium Web" w:eastAsia="Times New Roman" w:hAnsi="Titillium Web" w:cs="Times New Roman"/>
            <w:b/>
            <w:bCs/>
            <w:color w:val="455B71"/>
            <w:kern w:val="0"/>
            <w:sz w:val="36"/>
            <w:szCs w:val="36"/>
            <w:u w:val="single"/>
            <w:lang w:eastAsia="it-IT"/>
            <w14:ligatures w14:val="none"/>
          </w:rPr>
          <w:t>Prenotazione obbligatoria</w:t>
        </w:r>
      </w:hyperlink>
    </w:p>
    <w:p w14:paraId="38FDF53C" w14:textId="77777777" w:rsidR="00302C17" w:rsidRPr="00302C17" w:rsidRDefault="00302C17" w:rsidP="00302C17">
      <w:pPr>
        <w:shd w:val="clear" w:color="auto" w:fill="FFFFFF"/>
        <w:spacing w:after="255"/>
        <w:jc w:val="center"/>
        <w:outlineLvl w:val="3"/>
        <w:rPr>
          <w:rFonts w:ascii="Titillium Web" w:eastAsia="Times New Roman" w:hAnsi="Titillium Web" w:cs="Times New Roman"/>
          <w:b/>
          <w:bCs/>
          <w:color w:val="17324D"/>
          <w:kern w:val="0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993366"/>
          <w:kern w:val="0"/>
          <w:lang w:eastAsia="it-IT"/>
          <w14:ligatures w14:val="none"/>
        </w:rPr>
        <w:t>Ingresso LIBERO!</w:t>
      </w:r>
    </w:p>
    <w:p w14:paraId="01B5C216" w14:textId="77777777" w:rsidR="00302C17" w:rsidRPr="00302C17" w:rsidRDefault="00302C17" w:rsidP="00302C17">
      <w:pPr>
        <w:shd w:val="clear" w:color="auto" w:fill="FFFFFF"/>
        <w:spacing w:after="300"/>
        <w:jc w:val="center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t>Evento rivolto a studenti, genitori e docenti delle scuole secondarie di I grado per far conoscere l’offerta formativa dell’indirizzo Trasporti e Logistica – Opzione Conduzione del Mezzo Aereo.</w:t>
      </w:r>
    </w:p>
    <w:p w14:paraId="09D9162A" w14:textId="79898B3F" w:rsid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FF0000"/>
          <w:kern w:val="0"/>
          <w:sz w:val="27"/>
          <w:szCs w:val="27"/>
          <w:lang w:eastAsia="it-IT"/>
          <w14:ligatures w14:val="none"/>
        </w:rPr>
      </w:pPr>
    </w:p>
    <w:p w14:paraId="729DAB11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</w:pPr>
    </w:p>
    <w:p w14:paraId="68340C3E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27"/>
          <w:szCs w:val="27"/>
          <w:lang w:eastAsia="it-IT"/>
          <w14:ligatures w14:val="none"/>
        </w:rPr>
        <w:t>Liceo Scientifico Scienze Applicate</w:t>
      </w:r>
    </w:p>
    <w:p w14:paraId="2FC68F33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i/>
          <w:iCs/>
          <w:color w:val="17324D"/>
          <w:kern w:val="0"/>
          <w:sz w:val="27"/>
          <w:szCs w:val="27"/>
          <w:lang w:eastAsia="it-IT"/>
          <w14:ligatures w14:val="none"/>
        </w:rPr>
        <w:t>15 novembre 2025</w:t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  <w:br/>
        <w:t>Primo turno ore 9,00 – 11,00</w:t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  <w:br/>
        <w:t>Secondo turno ore 10,15 – 12,15</w:t>
      </w:r>
    </w:p>
    <w:p w14:paraId="6F7067D9" w14:textId="77777777" w:rsidR="00302C17" w:rsidRPr="00302C17" w:rsidRDefault="00302C17" w:rsidP="00302C17">
      <w:pPr>
        <w:shd w:val="clear" w:color="auto" w:fill="FFFFFF"/>
        <w:spacing w:after="300"/>
        <w:jc w:val="center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Lora" w:eastAsia="Times New Roman" w:hAnsi="Lora" w:cs="Times New Roman"/>
          <w:b/>
          <w:bCs/>
          <w:color w:val="FF0000"/>
          <w:kern w:val="0"/>
          <w:sz w:val="27"/>
          <w:szCs w:val="27"/>
          <w:lang w:eastAsia="it-IT"/>
          <w14:ligatures w14:val="none"/>
        </w:rPr>
        <w:t>Si prega di arrivare 15 minuti prima!</w:t>
      </w:r>
    </w:p>
    <w:p w14:paraId="464CE53F" w14:textId="77777777" w:rsidR="00302C17" w:rsidRPr="00302C17" w:rsidRDefault="00302C17" w:rsidP="00302C17">
      <w:pPr>
        <w:shd w:val="clear" w:color="auto" w:fill="FFFFFF"/>
        <w:spacing w:after="300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0F036DA4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FF0000"/>
          <w:kern w:val="0"/>
          <w:sz w:val="27"/>
          <w:szCs w:val="27"/>
          <w:lang w:eastAsia="it-IT"/>
          <w14:ligatures w14:val="none"/>
        </w:rPr>
        <w:t>ITIS Meccanica, Elettronica, Aeronautico</w:t>
      </w:r>
    </w:p>
    <w:p w14:paraId="1191F88F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2"/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i/>
          <w:iCs/>
          <w:color w:val="17324D"/>
          <w:kern w:val="0"/>
          <w:sz w:val="27"/>
          <w:szCs w:val="27"/>
          <w:lang w:eastAsia="it-IT"/>
          <w14:ligatures w14:val="none"/>
        </w:rPr>
        <w:t>22 novembre 2025</w:t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  <w:br/>
        <w:t>Primo turno ore 9,30 – 11,30</w:t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  <w:br/>
        <w:t>Secondo turno ore 11,00 – 13,00</w:t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27"/>
          <w:szCs w:val="27"/>
          <w:lang w:eastAsia="it-IT"/>
          <w14:ligatures w14:val="none"/>
        </w:rPr>
        <w:br/>
      </w:r>
      <w:r w:rsidRPr="00302C17">
        <w:rPr>
          <w:rFonts w:ascii="Titillium Web" w:eastAsia="Times New Roman" w:hAnsi="Titillium Web" w:cs="Times New Roman"/>
          <w:b/>
          <w:bCs/>
          <w:color w:val="800080"/>
          <w:kern w:val="0"/>
          <w:sz w:val="27"/>
          <w:szCs w:val="27"/>
          <w:lang w:eastAsia="it-IT"/>
          <w14:ligatures w14:val="none"/>
        </w:rPr>
        <w:t>Prenotazione non ancora disponibile</w:t>
      </w:r>
    </w:p>
    <w:p w14:paraId="33343FFA" w14:textId="77777777" w:rsidR="00302C17" w:rsidRDefault="00302C17"/>
    <w:p w14:paraId="278A97F4" w14:textId="77777777" w:rsidR="00302C17" w:rsidRDefault="00302C17"/>
    <w:p w14:paraId="27D9E368" w14:textId="77777777" w:rsidR="00302C17" w:rsidRPr="00302C17" w:rsidRDefault="00302C17">
      <w:pPr>
        <w:rPr>
          <w:b/>
          <w:bCs/>
        </w:rPr>
      </w:pPr>
      <w:r w:rsidRPr="00302C17">
        <w:rPr>
          <w:b/>
          <w:bCs/>
        </w:rPr>
        <w:t>Per prenotarsi cliccare sul seguente link:</w:t>
      </w:r>
    </w:p>
    <w:p w14:paraId="454F2A47" w14:textId="26576792" w:rsidR="00302C17" w:rsidRPr="00302C17" w:rsidRDefault="00302C17" w:rsidP="00302C17">
      <w:hyperlink r:id="rId7" w:history="1">
        <w:r w:rsidRPr="00E011DF">
          <w:rPr>
            <w:rStyle w:val="Collegamentoipertestuale"/>
          </w:rPr>
          <w:t>https://www.maxwell.edu.it/ser</w:t>
        </w:r>
        <w:r w:rsidRPr="00E011DF">
          <w:rPr>
            <w:rStyle w:val="Collegamentoipertestuale"/>
          </w:rPr>
          <w:t>v</w:t>
        </w:r>
        <w:r w:rsidRPr="00E011DF">
          <w:rPr>
            <w:rStyle w:val="Collegamentoipertestuale"/>
          </w:rPr>
          <w:t>izio/orientamento-maxwell-in-entrata/</w:t>
        </w:r>
      </w:hyperlink>
    </w:p>
    <w:p w14:paraId="0915AFAD" w14:textId="77777777" w:rsidR="00302C17" w:rsidRPr="00302C17" w:rsidRDefault="00302C17" w:rsidP="00302C17">
      <w:pPr>
        <w:shd w:val="clear" w:color="auto" w:fill="FFFFFF"/>
        <w:spacing w:after="300"/>
        <w:jc w:val="center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Lora" w:eastAsia="Times New Roman" w:hAnsi="Lora" w:cs="Times New Roman"/>
          <w:b/>
          <w:bCs/>
          <w:color w:val="FF0000"/>
          <w:kern w:val="0"/>
          <w:sz w:val="27"/>
          <w:szCs w:val="27"/>
          <w:lang w:eastAsia="it-IT"/>
          <w14:ligatures w14:val="none"/>
        </w:rPr>
        <w:t>ORIENTAMENTO 2025/26 – GENITORI</w:t>
      </w:r>
    </w:p>
    <w:p w14:paraId="20013712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1"/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800080"/>
          <w:kern w:val="0"/>
          <w:sz w:val="36"/>
          <w:szCs w:val="36"/>
          <w:lang w:eastAsia="it-IT"/>
          <w14:ligatures w14:val="none"/>
        </w:rPr>
        <w:t>NO OPEN DAY</w:t>
      </w:r>
    </w:p>
    <w:p w14:paraId="69AA825B" w14:textId="77777777" w:rsidR="00302C17" w:rsidRPr="00302C17" w:rsidRDefault="00302C17" w:rsidP="00302C17">
      <w:pPr>
        <w:shd w:val="clear" w:color="auto" w:fill="FFFFFF"/>
        <w:spacing w:after="300"/>
        <w:jc w:val="center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t>All’interno delle attività di ORIENTAMENTO IN INGRESSO, rivolte alle classi 2^ e 3^ delle scuole secondarie di 1^ grado, sono previsti degli incontri</w:t>
      </w: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br/>
        <w:t>(per tutti gli studenti e in particolare per gli studenti con BES – Bisogni Educativi Speciali</w:t>
      </w: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br/>
        <w:t>presso la nostra sede dell’IP Settembrini e/o della nostra sede dell’IIS Maxwell, della durata di circa due ore per sede,</w:t>
      </w: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br/>
        <w:t>attraverso cui le famiglie (eventualmente accompagnate dagli studenti) potranno dialogare con i docenti riguardo la scelta ormai imminente e i criteri con cui affrontarla consapevolmente,</w:t>
      </w: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br/>
        <w:t>oltre che ricevere informazioni relative alla proposta formativa del nostro Istituto.</w:t>
      </w: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br/>
        <w:t>L’incontro all’IP Settembrini prevede altresì la visita alla scuola.</w:t>
      </w:r>
    </w:p>
    <w:p w14:paraId="4D57CE93" w14:textId="77777777" w:rsidR="00302C17" w:rsidRPr="00302C17" w:rsidRDefault="00302C17" w:rsidP="00302C17">
      <w:pPr>
        <w:shd w:val="clear" w:color="auto" w:fill="FFFFFF"/>
        <w:spacing w:after="300"/>
        <w:jc w:val="center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302C17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t>Per partecipare è necessario prenotarsi mediante Google moduli.</w:t>
      </w:r>
    </w:p>
    <w:p w14:paraId="3C9CBE5C" w14:textId="77777777" w:rsidR="00302C17" w:rsidRPr="00302C17" w:rsidRDefault="00302C17" w:rsidP="00302C17">
      <w:pPr>
        <w:shd w:val="clear" w:color="auto" w:fill="FFFFFF"/>
        <w:spacing w:after="120"/>
        <w:jc w:val="center"/>
        <w:outlineLvl w:val="1"/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</w:pPr>
      <w:r w:rsidRPr="00302C17">
        <w:rPr>
          <w:rFonts w:ascii="Titillium Web" w:eastAsia="Times New Roman" w:hAnsi="Titillium Web" w:cs="Times New Roman"/>
          <w:b/>
          <w:bCs/>
          <w:color w:val="993366"/>
          <w:kern w:val="0"/>
          <w:sz w:val="36"/>
          <w:szCs w:val="36"/>
          <w:lang w:eastAsia="it-IT"/>
          <w14:ligatures w14:val="none"/>
        </w:rPr>
        <w:t>Prenotazione Orientamento Genitori</w:t>
      </w:r>
      <w:r w:rsidRPr="00302C17">
        <w:rPr>
          <w:rFonts w:ascii="Titillium Web" w:eastAsia="Times New Roman" w:hAnsi="Titillium Web" w:cs="Times New Roman"/>
          <w:b/>
          <w:bCs/>
          <w:color w:val="993366"/>
          <w:kern w:val="0"/>
          <w:sz w:val="36"/>
          <w:szCs w:val="36"/>
          <w:lang w:eastAsia="it-IT"/>
          <w14:ligatures w14:val="none"/>
        </w:rPr>
        <w:br/>
      </w:r>
      <w:r w:rsidRPr="00302C17">
        <w:rPr>
          <w:rFonts w:ascii="Titillium Web" w:eastAsia="Times New Roman" w:hAnsi="Titillium Web" w:cs="Times New Roman"/>
          <w:b/>
          <w:bCs/>
          <w:color w:val="17324D"/>
          <w:kern w:val="0"/>
          <w:sz w:val="36"/>
          <w:szCs w:val="36"/>
          <w:lang w:eastAsia="it-IT"/>
          <w14:ligatures w14:val="none"/>
        </w:rPr>
        <w:t>NON ancora attivo</w:t>
      </w:r>
    </w:p>
    <w:p w14:paraId="2DF6D1F5" w14:textId="77777777" w:rsidR="00302C17" w:rsidRDefault="00302C17"/>
    <w:sectPr w:rsidR="00302C17" w:rsidSect="007809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7"/>
    <w:rsid w:val="001B1D70"/>
    <w:rsid w:val="00302C17"/>
    <w:rsid w:val="00780995"/>
    <w:rsid w:val="008A4922"/>
    <w:rsid w:val="00A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2C8A"/>
  <w15:chartTrackingRefBased/>
  <w15:docId w15:val="{AD0153D3-BCAF-034C-AC3D-2AFC28B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2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02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02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2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2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2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2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2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2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2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02C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2C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2C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2C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2C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2C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2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C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2C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2C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2C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2C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2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2C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2C17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02C1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02C1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02C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302C1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02C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C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xwell.edu.it/servizio/orientamento-maxwell-in-entra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3NB7ZZMkgHG3jsG48" TargetMode="External"/><Relationship Id="rId5" Type="http://schemas.openxmlformats.org/officeDocument/2006/relationships/image" Target="media/image1.png"/><Relationship Id="rId4" Type="http://schemas.openxmlformats.org/officeDocument/2006/relationships/hyperlink" Target="tel:+3902282595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Borrattaz Barbara</dc:creator>
  <cp:keywords/>
  <dc:description/>
  <cp:lastModifiedBy>Borrattaz Barbara</cp:lastModifiedBy>
  <cp:revision>1</cp:revision>
  <dcterms:created xsi:type="dcterms:W3CDTF">2025-10-18T17:43:00Z</dcterms:created>
  <dcterms:modified xsi:type="dcterms:W3CDTF">2025-10-18T17:48:00Z</dcterms:modified>
</cp:coreProperties>
</file>